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64" w:rsidRPr="005C166D" w:rsidRDefault="005C166D" w:rsidP="00BD76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C166D">
        <w:rPr>
          <w:rFonts w:ascii="Times New Roman" w:hAnsi="Times New Roman" w:cs="Times New Roman"/>
          <w:b/>
          <w:sz w:val="26"/>
          <w:szCs w:val="26"/>
        </w:rPr>
        <w:t>Методические разъяснения по применению сборников УПВС (сборников укрупненных показателей восстановительной стоимости зданий и сооружений для переоценки основных фондов в ценах и нормах, введенных с 1 января 1969г.)</w:t>
      </w:r>
    </w:p>
    <w:p w:rsidR="00BD7664" w:rsidRPr="007B6C70" w:rsidRDefault="00BD7664" w:rsidP="00BD7664">
      <w:pPr>
        <w:pStyle w:val="ConsPlusNormal"/>
        <w:numPr>
          <w:ilvl w:val="0"/>
          <w:numId w:val="4"/>
        </w:numPr>
        <w:spacing w:before="240" w:after="240"/>
        <w:ind w:left="709" w:hanging="709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B6C70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BD7664" w:rsidRDefault="00BD7664" w:rsidP="00674A0C">
      <w:pPr>
        <w:pStyle w:val="ConsPlusNormal"/>
        <w:spacing w:after="1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B6C70">
        <w:rPr>
          <w:rFonts w:ascii="Times New Roman" w:hAnsi="Times New Roman" w:cs="Times New Roman"/>
          <w:sz w:val="26"/>
          <w:szCs w:val="26"/>
        </w:rPr>
        <w:t xml:space="preserve">Настоящие Методические </w:t>
      </w:r>
      <w:r>
        <w:rPr>
          <w:rFonts w:ascii="Times New Roman" w:hAnsi="Times New Roman" w:cs="Times New Roman"/>
          <w:sz w:val="26"/>
          <w:szCs w:val="26"/>
        </w:rPr>
        <w:t>разъяснения по применению сборников УПВС</w:t>
      </w:r>
      <w:r w:rsidR="00674A0C">
        <w:rPr>
          <w:rFonts w:ascii="Times New Roman" w:hAnsi="Times New Roman" w:cs="Times New Roman"/>
          <w:sz w:val="26"/>
          <w:szCs w:val="26"/>
        </w:rPr>
        <w:t xml:space="preserve"> (</w:t>
      </w:r>
      <w:r w:rsidR="00674A0C" w:rsidRPr="00674A0C">
        <w:rPr>
          <w:rFonts w:ascii="Times New Roman" w:hAnsi="Times New Roman" w:cs="Times New Roman"/>
          <w:sz w:val="26"/>
          <w:szCs w:val="26"/>
        </w:rPr>
        <w:t>сборников укрупненных показателей восстановительной стоимости зданий и сооружений для переоценки основных фондов</w:t>
      </w:r>
      <w:r w:rsidR="00674A0C">
        <w:rPr>
          <w:rFonts w:ascii="Times New Roman" w:hAnsi="Times New Roman" w:cs="Times New Roman"/>
          <w:sz w:val="26"/>
          <w:szCs w:val="26"/>
        </w:rPr>
        <w:t xml:space="preserve"> </w:t>
      </w:r>
      <w:r w:rsidR="00674A0C" w:rsidRPr="00674A0C">
        <w:rPr>
          <w:rFonts w:ascii="Times New Roman" w:hAnsi="Times New Roman" w:cs="Times New Roman"/>
          <w:sz w:val="26"/>
          <w:szCs w:val="26"/>
        </w:rPr>
        <w:t>в ценах и нормах, введенных с 1 января 1969г.</w:t>
      </w:r>
      <w:r w:rsidR="00674A0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отчетах об оценке</w:t>
      </w:r>
      <w:r w:rsidRPr="007B6C70">
        <w:rPr>
          <w:rFonts w:ascii="Times New Roman" w:hAnsi="Times New Roman" w:cs="Times New Roman"/>
          <w:sz w:val="26"/>
          <w:szCs w:val="26"/>
        </w:rPr>
        <w:t xml:space="preserve"> разработаны в развитие и дополнение действующей редакции федерального стандарта оценки «Оценка недвижимости ФСО №7» и направлены на конкретизацию требований и процедур, установленных ФСО №7.</w:t>
      </w:r>
    </w:p>
    <w:p w:rsidR="00B27497" w:rsidRPr="004D6FF0" w:rsidRDefault="00B27497" w:rsidP="00B27497">
      <w:pPr>
        <w:pStyle w:val="ConsPlusNormal"/>
        <w:spacing w:after="12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27497">
        <w:rPr>
          <w:rFonts w:ascii="Times New Roman" w:hAnsi="Times New Roman" w:cs="Times New Roman"/>
          <w:sz w:val="26"/>
          <w:szCs w:val="26"/>
        </w:rPr>
        <w:t xml:space="preserve">Приняты и одобрены решением </w:t>
      </w:r>
      <w:r>
        <w:rPr>
          <w:rFonts w:ascii="Times New Roman" w:hAnsi="Times New Roman" w:cs="Times New Roman"/>
          <w:sz w:val="26"/>
          <w:szCs w:val="26"/>
        </w:rPr>
        <w:t xml:space="preserve">Методического </w:t>
      </w:r>
      <w:r w:rsidRPr="00B27497">
        <w:rPr>
          <w:rFonts w:ascii="Times New Roman" w:hAnsi="Times New Roman" w:cs="Times New Roman"/>
          <w:sz w:val="26"/>
          <w:szCs w:val="26"/>
        </w:rPr>
        <w:t>С</w:t>
      </w:r>
      <w:r w:rsidR="004D6FF0">
        <w:rPr>
          <w:rFonts w:ascii="Times New Roman" w:hAnsi="Times New Roman" w:cs="Times New Roman"/>
          <w:sz w:val="26"/>
          <w:szCs w:val="26"/>
        </w:rPr>
        <w:t xml:space="preserve">овета РОО </w:t>
      </w:r>
      <w:r w:rsidR="004D6FF0" w:rsidRPr="004D6FF0">
        <w:rPr>
          <w:rFonts w:ascii="Times New Roman" w:hAnsi="Times New Roman" w:cs="Times New Roman"/>
          <w:b/>
          <w:sz w:val="26"/>
          <w:szCs w:val="26"/>
        </w:rPr>
        <w:t>от «06» июля</w:t>
      </w:r>
      <w:r w:rsidR="00AB5334">
        <w:rPr>
          <w:rFonts w:ascii="Times New Roman" w:hAnsi="Times New Roman" w:cs="Times New Roman"/>
          <w:b/>
          <w:sz w:val="26"/>
          <w:szCs w:val="26"/>
        </w:rPr>
        <w:t xml:space="preserve"> 2023</w:t>
      </w:r>
      <w:r w:rsidR="004D6FF0" w:rsidRPr="004D6FF0">
        <w:rPr>
          <w:rFonts w:ascii="Times New Roman" w:hAnsi="Times New Roman" w:cs="Times New Roman"/>
          <w:b/>
          <w:sz w:val="26"/>
          <w:szCs w:val="26"/>
        </w:rPr>
        <w:t xml:space="preserve"> г., протокол № 4</w:t>
      </w:r>
      <w:r w:rsidRPr="004D6FF0">
        <w:rPr>
          <w:rFonts w:ascii="Times New Roman" w:hAnsi="Times New Roman" w:cs="Times New Roman"/>
          <w:b/>
          <w:sz w:val="26"/>
          <w:szCs w:val="26"/>
        </w:rPr>
        <w:t>.</w:t>
      </w:r>
    </w:p>
    <w:p w:rsidR="00BD7664" w:rsidRPr="007B6C70" w:rsidRDefault="00BD7664" w:rsidP="00BD7664">
      <w:pPr>
        <w:pStyle w:val="ConsPlusNormal"/>
        <w:numPr>
          <w:ilvl w:val="0"/>
          <w:numId w:val="4"/>
        </w:numPr>
        <w:spacing w:before="240" w:after="240"/>
        <w:ind w:left="709" w:hanging="709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B6C70">
        <w:rPr>
          <w:rFonts w:ascii="Times New Roman" w:hAnsi="Times New Roman" w:cs="Times New Roman"/>
          <w:b/>
          <w:sz w:val="26"/>
          <w:szCs w:val="26"/>
        </w:rPr>
        <w:t>Область применения</w:t>
      </w:r>
    </w:p>
    <w:p w:rsidR="00BD7664" w:rsidRDefault="00BD7664" w:rsidP="00BD7664">
      <w:pPr>
        <w:pStyle w:val="ConsPlusNormal"/>
        <w:spacing w:after="1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Настоящие методические разъяснения</w:t>
      </w:r>
      <w:r w:rsidRPr="007B6C70">
        <w:rPr>
          <w:rFonts w:ascii="Times New Roman" w:hAnsi="Times New Roman" w:cs="Times New Roman"/>
          <w:sz w:val="26"/>
          <w:szCs w:val="26"/>
        </w:rPr>
        <w:t xml:space="preserve"> предназначены для применения субъектами оценочной деятельности при определении </w:t>
      </w:r>
      <w:r w:rsidR="002113E2" w:rsidRPr="002113E2">
        <w:rPr>
          <w:rFonts w:ascii="Times New Roman" w:hAnsi="Times New Roman" w:cs="Times New Roman"/>
          <w:sz w:val="26"/>
          <w:szCs w:val="26"/>
        </w:rPr>
        <w:t>затрат замещени</w:t>
      </w:r>
      <w:r w:rsidR="00FD7BE8">
        <w:rPr>
          <w:rFonts w:ascii="Times New Roman" w:hAnsi="Times New Roman" w:cs="Times New Roman"/>
          <w:sz w:val="26"/>
          <w:szCs w:val="26"/>
        </w:rPr>
        <w:t>я</w:t>
      </w:r>
      <w:r w:rsidR="002113E2" w:rsidRPr="002113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объектов капитального строительства</w:t>
      </w:r>
      <w:r w:rsidRPr="007B6C70">
        <w:rPr>
          <w:rFonts w:ascii="Times New Roman" w:hAnsi="Times New Roman" w:cs="Times New Roman"/>
          <w:sz w:val="26"/>
          <w:szCs w:val="26"/>
        </w:rPr>
        <w:t>.</w:t>
      </w:r>
    </w:p>
    <w:p w:rsidR="00B12226" w:rsidRPr="00AF371E" w:rsidRDefault="003611BD" w:rsidP="00AF371E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B12226" w:rsidRPr="00AF371E">
        <w:rPr>
          <w:rFonts w:ascii="Times New Roman" w:hAnsi="Times New Roman"/>
          <w:sz w:val="26"/>
          <w:szCs w:val="26"/>
        </w:rPr>
        <w:t xml:space="preserve">Применение сборников УПВС при подготовке отчетов об оценке не признается наилучшей практикой в оценке и не рекомендуется. </w:t>
      </w:r>
    </w:p>
    <w:p w:rsidR="004E17A6" w:rsidRPr="00717896" w:rsidRDefault="00B12226" w:rsidP="00AF371E">
      <w:pPr>
        <w:pStyle w:val="a4"/>
        <w:numPr>
          <w:ilvl w:val="1"/>
          <w:numId w:val="12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F371E"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При использовании </w:t>
      </w:r>
      <w:r w:rsidR="004E17A6" w:rsidRPr="00AF371E">
        <w:rPr>
          <w:rFonts w:ascii="Times New Roman" w:eastAsia="Times New Roman" w:hAnsi="Times New Roman" w:cs="Times New Roman"/>
          <w:color w:val="050505"/>
          <w:sz w:val="26"/>
          <w:szCs w:val="26"/>
          <w:lang w:eastAsia="ru-RU"/>
        </w:rPr>
        <w:t xml:space="preserve">справочников УПВС в оценке оценщик должен проанализировать и отразить в отчёте об оценке, что 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иных источников в данно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оценк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невозможно или не целесообразно</w:t>
      </w:r>
      <w:r w:rsidR="003611BD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силу меньшей точности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применение сборников УПВС объективно является вынужденным шагом.</w:t>
      </w:r>
    </w:p>
    <w:p w:rsidR="004E17A6" w:rsidRPr="00717896" w:rsidRDefault="003611BD" w:rsidP="00AF371E">
      <w:pPr>
        <w:pStyle w:val="a4"/>
        <w:numPr>
          <w:ilvl w:val="1"/>
          <w:numId w:val="12"/>
        </w:numPr>
        <w:spacing w:after="120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применении сборников УПВС оценщику также следует иметь в виду следующие важные методологические особенности</w:t>
      </w:r>
    </w:p>
    <w:p w:rsidR="004E17A6" w:rsidRPr="00717896" w:rsidRDefault="004B7839" w:rsidP="00CD3D58">
      <w:pPr>
        <w:pStyle w:val="a4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ля корректировки затрат, приведённых в сборниках УПВС, от даты составления сборников </w:t>
      </w:r>
      <w:r w:rsidR="003611BD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даты оценки, требуется использование большого количества коэффициентов, учитывающих удорожание затрат, однако таких коэффициентов, учитывающих удорожание, в распоряжении имеется несколько типов (</w:t>
      </w:r>
      <w:r w:rsidR="003611BD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отраслевая 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инфляция, ФЕР, Ко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Инвест и др.)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Однако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однозначного и обоснованного указания на то, какие именно коэффициенты следует использовать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настоящее время дать не представляется возможным</w:t>
      </w:r>
      <w:r w:rsidR="003611BD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оэтому величины таких корректировок должны быть обоснованы оценщиком в отчёте об оценке самостоятельно.</w:t>
      </w:r>
    </w:p>
    <w:p w:rsidR="004E17A6" w:rsidRPr="00717896" w:rsidRDefault="00DC3B5C" w:rsidP="00CD3D58">
      <w:pPr>
        <w:pStyle w:val="a4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Приведение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данных, представленных в сборниках УПВС</w:t>
      </w:r>
      <w:r w:rsidR="004F175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дате оценки требует их обязательной корректировки на изменение структуры затрат, произошедше</w:t>
      </w: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 даты составления справочников до даты оценки</w:t>
      </w: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ри этом однозначного ответа на то, каковы должны быть эти корректировки, в настоящий момент дать не представляется возможным</w:t>
      </w: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оэтому величины </w:t>
      </w:r>
      <w:r w:rsidR="004E17A6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таких корректировок должны быть обоснованы оценщиком в отчёте об оценке самостоятельно.</w:t>
      </w:r>
    </w:p>
    <w:p w:rsidR="00C149A8" w:rsidRPr="00717896" w:rsidRDefault="004B7839" w:rsidP="00CD3D58">
      <w:pPr>
        <w:pStyle w:val="a4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правочники УПВС являются одним и</w:t>
      </w:r>
      <w:r w:rsidR="004D6F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вариантов укрупненных показателей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стоимости строительства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Поэтому результаты, полученные при использовании справочников УПВС, следует рассматривать как затраты замещения (в</w:t>
      </w:r>
      <w:r w:rsidR="00077127" w:rsidRPr="00684B8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контексте п. 27 ФСО 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V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но при этом не относящиеся к «современному аналогичному объекту, обеспечивающему равноценную полезность, имеющему современный дизайн и произведенному с использованием современных экономически эффективных материалов и технологий». Это несоответствие современному аналогичному объекту, 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может 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потреб</w:t>
      </w:r>
      <w:r w:rsidR="00DC3B5C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овать</w:t>
      </w:r>
      <w:r w:rsidR="00C149A8" w:rsidRPr="0071789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дополнительных корректировок или учета функционального устаревания.</w:t>
      </w:r>
    </w:p>
    <w:p w:rsidR="004E17A6" w:rsidRPr="00CD3D58" w:rsidRDefault="00DC3B5C" w:rsidP="00717896">
      <w:pPr>
        <w:pStyle w:val="ConsPlusNormal"/>
        <w:spacing w:after="12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E17A6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7BE8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4E17A6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При использовании справочников УПВС </w:t>
      </w:r>
      <w:r w:rsidR="004B7839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перечисленные </w:t>
      </w:r>
      <w:r w:rsidR="00FD7BE8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>в п.</w:t>
      </w:r>
      <w:r w:rsidR="00684B82" w:rsidRPr="00684B8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D7BE8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 </w:t>
      </w:r>
      <w:r w:rsidR="004E17A6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особенности подлежат специальному указанию и обсуждению в отчёте об оценке для </w:t>
      </w:r>
      <w:r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предотвращения </w:t>
      </w:r>
      <w:r w:rsidR="004E17A6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>возможного введения в заблуждение пользователя отчёта об оценке.</w:t>
      </w:r>
      <w:r w:rsidR="00C3736B" w:rsidRPr="00717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Кроме того, рекомендуется </w:t>
      </w:r>
      <w:r w:rsidR="00533CC5" w:rsidRPr="00717896">
        <w:rPr>
          <w:rFonts w:ascii="Times New Roman" w:hAnsi="Times New Roman"/>
          <w:color w:val="000000" w:themeColor="text1"/>
          <w:sz w:val="26"/>
          <w:szCs w:val="26"/>
        </w:rPr>
        <w:t xml:space="preserve">провести и отразить в отчете </w:t>
      </w:r>
      <w:r w:rsidR="00C3736B" w:rsidRPr="00717896">
        <w:rPr>
          <w:rFonts w:ascii="Times New Roman" w:hAnsi="Times New Roman"/>
          <w:color w:val="000000" w:themeColor="text1"/>
          <w:sz w:val="26"/>
          <w:szCs w:val="26"/>
        </w:rPr>
        <w:t>дополнительный анализ полученн</w:t>
      </w:r>
      <w:r w:rsidR="00FD7BE8" w:rsidRPr="00717896">
        <w:rPr>
          <w:rFonts w:ascii="Times New Roman" w:hAnsi="Times New Roman"/>
          <w:color w:val="000000" w:themeColor="text1"/>
          <w:sz w:val="26"/>
          <w:szCs w:val="26"/>
        </w:rPr>
        <w:t>ых затрат замещени</w:t>
      </w:r>
      <w:r w:rsidRPr="00717896">
        <w:rPr>
          <w:rFonts w:ascii="Times New Roman" w:hAnsi="Times New Roman"/>
          <w:color w:val="000000" w:themeColor="text1"/>
          <w:sz w:val="26"/>
          <w:szCs w:val="26"/>
        </w:rPr>
        <w:t xml:space="preserve">я или их отдельных составляющих </w:t>
      </w:r>
      <w:r w:rsidR="00FD7BE8" w:rsidRPr="00717896">
        <w:rPr>
          <w:rFonts w:ascii="Times New Roman" w:hAnsi="Times New Roman"/>
          <w:color w:val="000000" w:themeColor="text1"/>
          <w:sz w:val="26"/>
          <w:szCs w:val="26"/>
        </w:rPr>
        <w:t>на соответствие рыночному</w:t>
      </w:r>
      <w:r w:rsidR="00C3736B" w:rsidRPr="007178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D7BE8" w:rsidRPr="00717896">
        <w:rPr>
          <w:rFonts w:ascii="Times New Roman" w:hAnsi="Times New Roman"/>
          <w:color w:val="000000" w:themeColor="text1"/>
          <w:sz w:val="26"/>
          <w:szCs w:val="26"/>
        </w:rPr>
        <w:t>уровню цен</w:t>
      </w:r>
      <w:r w:rsidR="00C3736B" w:rsidRPr="0071789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sectPr w:rsidR="004E17A6" w:rsidRPr="00CD3D58" w:rsidSect="00D11127">
      <w:headerReference w:type="default" r:id="rId7"/>
      <w:foot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49C" w:rsidRDefault="0047349C" w:rsidP="00A42236">
      <w:pPr>
        <w:spacing w:after="0" w:line="240" w:lineRule="auto"/>
      </w:pPr>
      <w:r>
        <w:separator/>
      </w:r>
    </w:p>
  </w:endnote>
  <w:endnote w:type="continuationSeparator" w:id="0">
    <w:p w:rsidR="0047349C" w:rsidRDefault="0047349C" w:rsidP="00A4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2920621"/>
      <w:docPartObj>
        <w:docPartGallery w:val="Page Numbers (Bottom of Page)"/>
        <w:docPartUnique/>
      </w:docPartObj>
    </w:sdtPr>
    <w:sdtEndPr/>
    <w:sdtContent>
      <w:p w:rsidR="00A42236" w:rsidRDefault="00541382">
        <w:pPr>
          <w:pStyle w:val="a8"/>
          <w:jc w:val="right"/>
        </w:pPr>
        <w:r>
          <w:fldChar w:fldCharType="begin"/>
        </w:r>
        <w:r w:rsidR="00A42236">
          <w:instrText>PAGE   \* MERGEFORMAT</w:instrText>
        </w:r>
        <w:r>
          <w:fldChar w:fldCharType="separate"/>
        </w:r>
        <w:r w:rsidR="00896204">
          <w:rPr>
            <w:noProof/>
          </w:rPr>
          <w:t>2</w:t>
        </w:r>
        <w:r>
          <w:fldChar w:fldCharType="end"/>
        </w:r>
      </w:p>
    </w:sdtContent>
  </w:sdt>
  <w:p w:rsidR="00A42236" w:rsidRDefault="00A422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49C" w:rsidRDefault="0047349C" w:rsidP="00A42236">
      <w:pPr>
        <w:spacing w:after="0" w:line="240" w:lineRule="auto"/>
      </w:pPr>
      <w:r>
        <w:separator/>
      </w:r>
    </w:p>
  </w:footnote>
  <w:footnote w:type="continuationSeparator" w:id="0">
    <w:p w:rsidR="0047349C" w:rsidRDefault="0047349C" w:rsidP="00A4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236" w:rsidRDefault="00A42236" w:rsidP="00A42236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5F45"/>
    <w:multiLevelType w:val="hybridMultilevel"/>
    <w:tmpl w:val="CDB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679C7"/>
    <w:multiLevelType w:val="multilevel"/>
    <w:tmpl w:val="506CB1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2" w15:restartNumberingAfterBreak="0">
    <w:nsid w:val="23FC3712"/>
    <w:multiLevelType w:val="multilevel"/>
    <w:tmpl w:val="49104B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31EB4"/>
    <w:multiLevelType w:val="hybridMultilevel"/>
    <w:tmpl w:val="49104B24"/>
    <w:lvl w:ilvl="0" w:tplc="59045E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93584"/>
    <w:multiLevelType w:val="hybridMultilevel"/>
    <w:tmpl w:val="3A40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C154E"/>
    <w:multiLevelType w:val="multilevel"/>
    <w:tmpl w:val="12E670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7D51CF"/>
    <w:multiLevelType w:val="hybridMultilevel"/>
    <w:tmpl w:val="CDB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E010B"/>
    <w:multiLevelType w:val="hybridMultilevel"/>
    <w:tmpl w:val="C20E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8607D"/>
    <w:multiLevelType w:val="multilevel"/>
    <w:tmpl w:val="C1FED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84581B"/>
    <w:multiLevelType w:val="multilevel"/>
    <w:tmpl w:val="BD10C9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35178D"/>
    <w:multiLevelType w:val="multilevel"/>
    <w:tmpl w:val="501A6E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 w15:restartNumberingAfterBreak="0">
    <w:nsid w:val="65024518"/>
    <w:multiLevelType w:val="hybridMultilevel"/>
    <w:tmpl w:val="19145C60"/>
    <w:lvl w:ilvl="0" w:tplc="D9D20368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E7"/>
    <w:rsid w:val="0005294C"/>
    <w:rsid w:val="0006053B"/>
    <w:rsid w:val="00064B3D"/>
    <w:rsid w:val="00077127"/>
    <w:rsid w:val="00081051"/>
    <w:rsid w:val="00081DB2"/>
    <w:rsid w:val="0008463D"/>
    <w:rsid w:val="000E57C9"/>
    <w:rsid w:val="001178FC"/>
    <w:rsid w:val="00122977"/>
    <w:rsid w:val="00136FB4"/>
    <w:rsid w:val="00140DCB"/>
    <w:rsid w:val="00145AED"/>
    <w:rsid w:val="00166B7E"/>
    <w:rsid w:val="00186E14"/>
    <w:rsid w:val="001A0839"/>
    <w:rsid w:val="001A1186"/>
    <w:rsid w:val="001A3221"/>
    <w:rsid w:val="001C298D"/>
    <w:rsid w:val="002113E2"/>
    <w:rsid w:val="00234457"/>
    <w:rsid w:val="002443B7"/>
    <w:rsid w:val="00244DB5"/>
    <w:rsid w:val="00253FBF"/>
    <w:rsid w:val="0026741C"/>
    <w:rsid w:val="00275FE0"/>
    <w:rsid w:val="0028674B"/>
    <w:rsid w:val="002939A7"/>
    <w:rsid w:val="002B59F6"/>
    <w:rsid w:val="002B65EC"/>
    <w:rsid w:val="002C04EE"/>
    <w:rsid w:val="002C73E7"/>
    <w:rsid w:val="002D354C"/>
    <w:rsid w:val="002E5DE8"/>
    <w:rsid w:val="0030333A"/>
    <w:rsid w:val="00316759"/>
    <w:rsid w:val="00331749"/>
    <w:rsid w:val="00343F69"/>
    <w:rsid w:val="00347407"/>
    <w:rsid w:val="003611BD"/>
    <w:rsid w:val="00383BBB"/>
    <w:rsid w:val="003865E5"/>
    <w:rsid w:val="003A7271"/>
    <w:rsid w:val="003D037D"/>
    <w:rsid w:val="004231C4"/>
    <w:rsid w:val="00424DC9"/>
    <w:rsid w:val="004450CC"/>
    <w:rsid w:val="00453936"/>
    <w:rsid w:val="0047349C"/>
    <w:rsid w:val="00474C95"/>
    <w:rsid w:val="004931C4"/>
    <w:rsid w:val="004B5362"/>
    <w:rsid w:val="004B7839"/>
    <w:rsid w:val="004D132C"/>
    <w:rsid w:val="004D6FF0"/>
    <w:rsid w:val="004E17A6"/>
    <w:rsid w:val="004F1757"/>
    <w:rsid w:val="00500508"/>
    <w:rsid w:val="00516DC2"/>
    <w:rsid w:val="00533CC5"/>
    <w:rsid w:val="00541382"/>
    <w:rsid w:val="00561784"/>
    <w:rsid w:val="005625CB"/>
    <w:rsid w:val="00570010"/>
    <w:rsid w:val="00576763"/>
    <w:rsid w:val="00580F53"/>
    <w:rsid w:val="005866E1"/>
    <w:rsid w:val="005B3E14"/>
    <w:rsid w:val="005C166D"/>
    <w:rsid w:val="006201CC"/>
    <w:rsid w:val="00622DB3"/>
    <w:rsid w:val="00650437"/>
    <w:rsid w:val="00652B81"/>
    <w:rsid w:val="00664A9D"/>
    <w:rsid w:val="00674A0C"/>
    <w:rsid w:val="006803FA"/>
    <w:rsid w:val="00684B82"/>
    <w:rsid w:val="00694019"/>
    <w:rsid w:val="006A2216"/>
    <w:rsid w:val="006F7117"/>
    <w:rsid w:val="006F7D4F"/>
    <w:rsid w:val="00703752"/>
    <w:rsid w:val="00717896"/>
    <w:rsid w:val="007832ED"/>
    <w:rsid w:val="007A7DB7"/>
    <w:rsid w:val="008171D1"/>
    <w:rsid w:val="00827312"/>
    <w:rsid w:val="00827B3C"/>
    <w:rsid w:val="0084613E"/>
    <w:rsid w:val="0088641A"/>
    <w:rsid w:val="00896204"/>
    <w:rsid w:val="008C6A65"/>
    <w:rsid w:val="008C784C"/>
    <w:rsid w:val="008D06DF"/>
    <w:rsid w:val="008D261A"/>
    <w:rsid w:val="008E6E19"/>
    <w:rsid w:val="00940744"/>
    <w:rsid w:val="00940F81"/>
    <w:rsid w:val="0095583E"/>
    <w:rsid w:val="009802CD"/>
    <w:rsid w:val="009812EF"/>
    <w:rsid w:val="009A36F1"/>
    <w:rsid w:val="009C5D2B"/>
    <w:rsid w:val="009D2490"/>
    <w:rsid w:val="009D36C3"/>
    <w:rsid w:val="009D7790"/>
    <w:rsid w:val="00A04ACA"/>
    <w:rsid w:val="00A42236"/>
    <w:rsid w:val="00A658D7"/>
    <w:rsid w:val="00A71B4B"/>
    <w:rsid w:val="00A9476E"/>
    <w:rsid w:val="00AB5334"/>
    <w:rsid w:val="00AD1EFE"/>
    <w:rsid w:val="00AD46D4"/>
    <w:rsid w:val="00AF371E"/>
    <w:rsid w:val="00B03063"/>
    <w:rsid w:val="00B10BAF"/>
    <w:rsid w:val="00B12226"/>
    <w:rsid w:val="00B21995"/>
    <w:rsid w:val="00B27497"/>
    <w:rsid w:val="00B61C3B"/>
    <w:rsid w:val="00B635D3"/>
    <w:rsid w:val="00BB2976"/>
    <w:rsid w:val="00BB66E4"/>
    <w:rsid w:val="00BD7664"/>
    <w:rsid w:val="00BE447E"/>
    <w:rsid w:val="00C149A8"/>
    <w:rsid w:val="00C3736B"/>
    <w:rsid w:val="00C5697C"/>
    <w:rsid w:val="00C66996"/>
    <w:rsid w:val="00C73339"/>
    <w:rsid w:val="00C75753"/>
    <w:rsid w:val="00C90F78"/>
    <w:rsid w:val="00CA3C19"/>
    <w:rsid w:val="00CA50C7"/>
    <w:rsid w:val="00CD3D58"/>
    <w:rsid w:val="00CE45E4"/>
    <w:rsid w:val="00D037D6"/>
    <w:rsid w:val="00D11127"/>
    <w:rsid w:val="00D529FB"/>
    <w:rsid w:val="00D53D43"/>
    <w:rsid w:val="00D6405F"/>
    <w:rsid w:val="00D751AD"/>
    <w:rsid w:val="00D82A43"/>
    <w:rsid w:val="00D920BE"/>
    <w:rsid w:val="00D92DFC"/>
    <w:rsid w:val="00DC1197"/>
    <w:rsid w:val="00DC3B5C"/>
    <w:rsid w:val="00DC3C01"/>
    <w:rsid w:val="00DD3E9D"/>
    <w:rsid w:val="00DE0E39"/>
    <w:rsid w:val="00DE4B61"/>
    <w:rsid w:val="00E01B2F"/>
    <w:rsid w:val="00E02DD7"/>
    <w:rsid w:val="00E14135"/>
    <w:rsid w:val="00E164CC"/>
    <w:rsid w:val="00E33B15"/>
    <w:rsid w:val="00E40BE4"/>
    <w:rsid w:val="00E51A55"/>
    <w:rsid w:val="00E71FCD"/>
    <w:rsid w:val="00E7339B"/>
    <w:rsid w:val="00E84065"/>
    <w:rsid w:val="00E92B24"/>
    <w:rsid w:val="00EC3591"/>
    <w:rsid w:val="00ED384A"/>
    <w:rsid w:val="00ED3B3B"/>
    <w:rsid w:val="00ED5085"/>
    <w:rsid w:val="00EF2A21"/>
    <w:rsid w:val="00EF33B1"/>
    <w:rsid w:val="00F00B0E"/>
    <w:rsid w:val="00F07E1F"/>
    <w:rsid w:val="00F5408A"/>
    <w:rsid w:val="00F71614"/>
    <w:rsid w:val="00F97597"/>
    <w:rsid w:val="00FA11E8"/>
    <w:rsid w:val="00FA7801"/>
    <w:rsid w:val="00FB29EA"/>
    <w:rsid w:val="00FD2ECE"/>
    <w:rsid w:val="00FD304B"/>
    <w:rsid w:val="00FD7BE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9535D-022F-4E12-80B7-7F48A7C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82"/>
  </w:style>
  <w:style w:type="paragraph" w:styleId="1">
    <w:name w:val="heading 1"/>
    <w:basedOn w:val="a"/>
    <w:link w:val="10"/>
    <w:uiPriority w:val="9"/>
    <w:qFormat/>
    <w:rsid w:val="0034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F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43F6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0BAF"/>
    <w:pPr>
      <w:ind w:left="720"/>
      <w:contextualSpacing/>
    </w:pPr>
  </w:style>
  <w:style w:type="paragraph" w:customStyle="1" w:styleId="msonormalmrcssattr">
    <w:name w:val="msonormal_mr_css_attr"/>
    <w:basedOn w:val="a"/>
    <w:rsid w:val="009D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7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9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4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2236"/>
  </w:style>
  <w:style w:type="paragraph" w:styleId="a8">
    <w:name w:val="footer"/>
    <w:basedOn w:val="a"/>
    <w:link w:val="a9"/>
    <w:uiPriority w:val="99"/>
    <w:unhideWhenUsed/>
    <w:rsid w:val="00A42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2236"/>
  </w:style>
  <w:style w:type="paragraph" w:styleId="aa">
    <w:name w:val="Balloon Text"/>
    <w:basedOn w:val="a"/>
    <w:link w:val="ab"/>
    <w:uiPriority w:val="99"/>
    <w:semiHidden/>
    <w:unhideWhenUsed/>
    <w:rsid w:val="00A0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Ширинкин Александр Юрьевич</cp:lastModifiedBy>
  <cp:revision>2</cp:revision>
  <dcterms:created xsi:type="dcterms:W3CDTF">2023-07-13T05:24:00Z</dcterms:created>
  <dcterms:modified xsi:type="dcterms:W3CDTF">2023-07-13T05:24:00Z</dcterms:modified>
</cp:coreProperties>
</file>